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</w:t>
      </w:r>
      <w:r>
        <w:rPr>
          <w:rFonts w:ascii="Times New Roman" w:hAnsi="Times New Roman"/>
          <w:b/>
          <w:sz w:val="28"/>
          <w:szCs w:val="28"/>
        </w:rPr>
        <w:t xml:space="preserve">оклад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 xml:space="preserve"> развитии и результатах</w:t>
      </w:r>
      <w:r>
        <w:rPr>
          <w:rFonts w:ascii="Times New Roman" w:hAnsi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процедуры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  <w:r>
        <w:rPr>
          <w:rFonts w:ascii="Times New Roman" w:hAnsi="Times New Roman"/>
          <w:b/>
          <w:sz w:val="28"/>
          <w:szCs w:val="28"/>
        </w:rPr>
        <w:t xml:space="preserve">и экспертизы муниципальных нормативных правовых актов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Дальнеконстантиновском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муниципальном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  <w:r>
        <w:rPr>
          <w:rFonts w:ascii="Times New Roman" w:hAnsi="Times New Roman"/>
          <w:b/>
          <w:sz w:val="28"/>
          <w:szCs w:val="28"/>
        </w:rPr>
        <w:t xml:space="preserve">за</w:t>
      </w:r>
      <w:r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>
        <w:tblPrEx/>
        <w:trPr>
          <w:trHeight w:val="23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  <w:outlineLvl w:val="2"/>
            </w:pPr>
            <w:r/>
            <w:bookmarkStart w:id="0" w:name="Par815"/>
            <w:r/>
            <w:bookmarkEnd w:id="0"/>
            <w:r>
              <w:rPr>
                <w:rFonts w:ascii="Times New Roman" w:hAnsi="Times New Roman"/>
                <w:b/>
              </w:rPr>
              <w:t xml:space="preserve">I. Общие сведения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Федеральный округ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Приволжский федеральный округ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Нижегородская область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составления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Местное самоуправление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Дальнеконстантиновском</w:t>
            </w:r>
            <w:r>
              <w:rPr>
                <w:rFonts w:ascii="Times New Roman" w:hAnsi="Times New Roman"/>
              </w:rPr>
              <w:t xml:space="preserve"> муниципального района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  <w:outlineLvl w:val="2"/>
            </w:pPr>
            <w:r/>
            <w:bookmarkStart w:id="1" w:name="Par822"/>
            <w:r/>
            <w:bookmarkEnd w:id="1"/>
            <w:r>
              <w:rPr>
                <w:rFonts w:ascii="Times New Roman" w:hAnsi="Times New Roman"/>
                <w:b/>
              </w:rPr>
              <w:t xml:space="preserve">II. Нормативное правовое закрепление института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2.1. Определен орган,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экономического развития администрации Дальнеконстантиновского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Дальнеконстантиновского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29.09.2023 г. № 2530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Порядка проведения оценки регулирующего воздействия проектов муниципальных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Порядка  проведения экспертизы действующих муниципальных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Дальнеконстантиновского  муниципального округа Нижегородской области»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Постановлением администрации Дальнеконстантиновского муниципального округа Нижегородской области от 19.12.2025 г. № 4208  «Об утверждении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Порядка проведения оценки регулирующего воздействия проектов муниципальных нормативных правовых актов  Дальнеконстантиновского муниципального округа  Нижегородской области».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2.2. Предметная область оценки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процедуры оценки регулирующего воздействия проектов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экспертизы нормативных правовых актов, затрагивающих вопросы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 Дальнеконстантиновского муниципального округа  Нижегородской области от 29.09.2023 г. № 2530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Постановлением администрации Дальнеконстантиновского муниципального округа Нижегородской области от 19.12.2025 г. № 4208  «Об утверждении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Порядка проведения оценки регулирующего воздействия проектов муниципальных нормативных правовых актов  Дальнеконстантиновского муниципального округа  Нижегородской области».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2.3. Утвержден порядок проведения оценки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 Дальнеконстантиновского муниципального округа  Нижегородской области от 29.09.2023 г. № 2530 « 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Порядка проведения оценки регулирующего воздействия проектов муниципальных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Порядка  проведения экспертизы действующих муниципальных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Дальнеконстантиновского  муниципального округа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/>
            <w:hyperlink r:id="rId10" w:tooltip="https://adm-dk.nobl.ru/activity/34696/" w:history="1">
              <w:r>
                <w:rPr>
                  <w:rStyle w:val="843"/>
                  <w:rFonts w:ascii="Times New Roman" w:hAnsi="Times New Roman"/>
                  <w:sz w:val="24"/>
                  <w:szCs w:val="24"/>
                </w:rPr>
                <w:t xml:space="preserve">https://adm-dk.nobl.ru/activity/34696/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 Дальнеконстантиновского муниципального округа  Нижегородской области от 23.01.2024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№201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О внесении изменений в постановление администрации Дальнеконстантиновского муниципального округа  Нижегородской области от 29 сентября  2023 года №253</w:t>
            </w:r>
            <w:r>
              <w:rPr>
                <w:rFonts w:ascii="Times New Roman" w:hAnsi="Times New Roman"/>
              </w:rPr>
              <w:t xml:space="preserve">0 « 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Дальнеконстантиновского муниципального округа  Нижегородской области»</w:t>
            </w:r>
            <w:r>
              <w:rPr>
                <w:rFonts w:ascii="Times New Roman" w:hAnsi="Times New Roman"/>
              </w:rPr>
              <w:t xml:space="preserve">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/>
            <w:hyperlink r:id="rId11" w:tooltip="https://adm-dk.nobl.ru/activity/34696/" w:history="1">
              <w:r>
                <w:rPr>
                  <w:rStyle w:val="843"/>
                  <w:rFonts w:ascii="Times New Roman" w:hAnsi="Times New Roman"/>
                </w:rPr>
                <w:t xml:space="preserve">https://adm-dk.nobl.ru/activity/34696/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Постановление администрации Дальнеконстантиновского муниципального округа Нижегородской области от 19.12.2025 г. № 4208  «Об утверждении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Порядка проведения оценки регулирующего воздействия проектов муниципальных нормативных правовых актов  Дальнеконстантиновского муниципального округа  Нижегородской области».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highlight w:val="none"/>
              </w:rPr>
              <w:t xml:space="preserve">https://adm-dk.nobl.ru/activity/34696/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В соответствии с порядком оценка регулирующего воздействия проводится: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уполномоченным органом на осуществление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контроля 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соблюдением порядка проведения ОРВ и проведением процедур экспертизы муниципальных нормативных правовых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ктов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  <w:p>
            <w:pPr>
              <w:pStyle w:val="855"/>
              <w:ind w:left="23" w:right="23" w:firstLine="686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нормативно-правовое и информационно-методическое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оценки проектов актов;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ind w:left="23" w:right="23" w:firstLine="686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исполнения процедур оценки проектов актов (экспертизы актов) и подготовки заключений об оценке проектов актов (экспертизы актов) регулирующими органами, включая контроль процедур проведения публичных консультаций;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ind w:left="23" w:right="23" w:firstLine="686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экспертного заключения об оценке проектов актов (экспертизы актов);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мониторинг проведения процедуры оценки проектов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(экспертизы актов) в Дальнеконстантиновском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самостоятельно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отраслевыми (функциональными) структурными подразделениями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администрации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-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разработчиками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проектов нормативных правовых актов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numPr>
                <w:ilvl w:val="0"/>
                <w:numId w:val="4"/>
              </w:numPr>
              <w:ind w:left="20" w:right="20" w:firstLine="700"/>
              <w:jc w:val="both"/>
              <w:spacing w:before="0" w:after="0" w:line="322" w:lineRule="exact"/>
              <w:shd w:val="clear" w:color="auto" w:fill="auto"/>
              <w:tabs>
                <w:tab w:val="left" w:pos="99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проектов актов путем проведения оценки эффективности введения (изменения) регулирующего воздействия;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numPr>
                <w:ilvl w:val="0"/>
                <w:numId w:val="4"/>
              </w:numPr>
              <w:ind w:left="20" w:firstLine="700"/>
              <w:jc w:val="both"/>
              <w:spacing w:before="0" w:after="0" w:line="322" w:lineRule="exact"/>
              <w:shd w:val="clear" w:color="auto" w:fill="auto"/>
              <w:tabs>
                <w:tab w:val="left" w:pos="8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актов (оценка фактического регулирующего воздействия);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numPr>
                <w:ilvl w:val="0"/>
                <w:numId w:val="4"/>
              </w:numPr>
              <w:ind w:left="20" w:firstLine="700"/>
              <w:jc w:val="both"/>
              <w:spacing w:before="0" w:after="0" w:line="322" w:lineRule="exact"/>
              <w:shd w:val="clear" w:color="auto" w:fill="auto"/>
              <w:tabs>
                <w:tab w:val="left" w:pos="87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ind w:left="720"/>
              <w:jc w:val="both"/>
              <w:spacing w:before="0" w:after="0" w:line="322" w:lineRule="exact"/>
              <w:shd w:val="clear" w:color="auto" w:fill="auto"/>
              <w:tabs>
                <w:tab w:val="left" w:pos="878" w:leader="none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об оценке проектов актов и экспертизе актов в сферах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оценки проектов актов и экспертизе актов могут участвовать иные участники оценки, в том числе путем участия в публичных консультациях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  <w:outlineLvl w:val="2"/>
            </w:pPr>
            <w:r/>
            <w:bookmarkStart w:id="2" w:name="Par916"/>
            <w:r/>
            <w:bookmarkEnd w:id="2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9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Практический опыт проведения оценки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общее количество подготовленных заключений об оценке регулирующего воздействия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положительных заключений об оценке регулирующего воздействия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2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консультациях по   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НПА зарегистрировано   -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внесших по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проекту НПА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из которых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был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риняты и учтены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Оценка регулирующего воздействия проектов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нормативных правовых актов в установленной предметной области проводится на систематической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утверждаемых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впоследствии законодательным (представительным) органом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общее количество подготовленных заключений об оценке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утверждаемых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впоследствии исполнительным органом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общее количество подготовленных заключений об оценке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3.5. Варианты предлагаемого правового регулирования оцениваются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основе использования количественных методов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для текстового описания: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указать статистические данные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Практический опыт проведения экспертизы нормативных правовых актов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оличество НПА включенных в план проведения экспертизы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общее количество подготовленных заключений 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экспертизе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положительных заключений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экспертизе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результатам экспертизы, в НПА внесены изменения или принято решение об их отмене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по результатам экспертизы,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НПА остались без изменений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  <w:outlineLvl w:val="2"/>
            </w:pPr>
            <w:r/>
            <w:bookmarkStart w:id="3" w:name="Par953"/>
            <w:r/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IV. Информационная, образовательная и организационная поддержка проведения оценки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При проведении оценки регулирующего воздействия используется специализированный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интернет-портал, сайт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органов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2" w:tooltip="https://adm-dk.nobl.ru/activity/28411/" w:history="1">
              <w:r>
                <w:rPr>
                  <w:rStyle w:val="843"/>
                  <w:rFonts w:ascii="Times New Roman" w:hAnsi="Times New Roman"/>
                  <w:sz w:val="24"/>
                  <w:szCs w:val="24"/>
                </w:rPr>
                <w:t xml:space="preserve">https://adm-dk.nobl.ru/activity/28411/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Нормативные правовые акты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размещены на специализированном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интернет-портале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официальном сайте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органа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3" w:tooltip="https://adm-dk.nobl.ru/activity/28411/" w:history="1">
              <w:r>
                <w:rPr>
                  <w:rStyle w:val="843"/>
                  <w:rFonts w:ascii="Times New Roman" w:hAnsi="Times New Roman"/>
                  <w:sz w:val="24"/>
                  <w:szCs w:val="24"/>
                </w:rPr>
                <w:t xml:space="preserve">https://adm-dk.nobl.ru/activity/28411/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Заключения об оценке регулирующего воздействия размещены на специализированном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интернет-портале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официальном сайте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органа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4" w:tooltip="https://adm-dk.nobl.ru/activity/28411/" w:history="1">
              <w:r>
                <w:rPr>
                  <w:rStyle w:val="843"/>
                  <w:rFonts w:ascii="Times New Roman" w:hAnsi="Times New Roman"/>
                  <w:b/>
                  <w:sz w:val="24"/>
                  <w:szCs w:val="24"/>
                </w:rPr>
                <w:t xml:space="preserve">https://adm-dk.nobl.ru/activity/28411/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Информация о проведении публичных консультаций размещается на специализированном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интернет-портале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официальном сайте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органа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t xml:space="preserve"> </w:t>
            </w:r>
            <w:hyperlink r:id="rId15" w:tooltip="https://adm-dk.nobl.ru/activity/28411/" w:history="1">
              <w:r>
                <w:rPr>
                  <w:rStyle w:val="843"/>
                  <w:rFonts w:ascii="Times New Roman" w:hAnsi="Times New Roman"/>
                  <w:sz w:val="24"/>
                  <w:szCs w:val="24"/>
                </w:rPr>
                <w:t xml:space="preserve">https://adm-dk.nobl.ru/activity/28411/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Для публикации информации по оценке регулирующего воздействия используются другие интернет-ресурсы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</w:pPr>
            <w:r>
              <w:t xml:space="preserve"> </w:t>
            </w:r>
            <w:hyperlink r:id="rId16" w:tooltip="https://nobl.ru/deyatelnost-pravitelstva/orv/" w:history="1">
              <w:r>
                <w:rPr>
                  <w:rStyle w:val="843"/>
                </w:rPr>
                <w:t xml:space="preserve">https://nobl.ru/deyatelnost-pravitelstva/orv/</w:t>
              </w:r>
            </w:hyperlink>
            <w:r/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Проводятся мероприятия, посвященные ОРВ. Информация о прошедших и (или) готовящихся мероприятиях (событиях) в сфере ОРВ</w:t>
            </w:r>
            <w:r>
              <w:rPr>
                <w:rStyle w:val="849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регулярно публикуется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интернет-портале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официальном сайте органа местного самоуправления, других средствах масс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овой информации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https://adm-dk.nobl.ru/presscenter/news/162041/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/>
            <w:bookmarkStart w:id="4" w:name="_GoBack"/>
            <w:r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</w:tc>
      </w:tr>
      <w:tr>
        <w:tblPrEx/>
        <w:trPr>
          <w:trHeight w:val="4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Создан совет/рабочая группа по оценке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проведении оценки проектов актов и экспертизе актов могут участвовать иные участники оценки, в том числе путем участия в публичных консультациях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9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уполномоченным по защите прав предпринимателей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 проведении оценки регулирующего воздействия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1.АНО «Дальнеконстантиновский центр развития предпринимательства»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2.АО «Корпорация развития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проведения оценки регулирующего воздействия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проектов актов (экспертизы актов)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Дальнеконстантиновского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муниципальном</w:t>
      </w:r>
      <w:r>
        <w:rPr>
          <w:rFonts w:ascii="Times New Roman" w:hAnsi="Times New Roman"/>
          <w:b/>
          <w:sz w:val="28"/>
          <w:szCs w:val="28"/>
        </w:rPr>
        <w:t xml:space="preserve"> округе 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 xml:space="preserve">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</w:t>
      </w:r>
      <w:r>
        <w:rPr>
          <w:rFonts w:ascii="Times New Roman" w:hAnsi="Times New Roman"/>
          <w:b/>
          <w:sz w:val="28"/>
          <w:szCs w:val="28"/>
        </w:rPr>
        <w:t xml:space="preserve"> внедрения ОРВ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 2025</w:t>
      </w:r>
      <w:r>
        <w:rPr>
          <w:rFonts w:ascii="Times New Roman" w:hAnsi="Times New Roman"/>
          <w:sz w:val="24"/>
          <w:szCs w:val="24"/>
        </w:rPr>
        <w:t xml:space="preserve"> г. с</w:t>
      </w:r>
      <w:r>
        <w:rPr>
          <w:rFonts w:ascii="Times New Roman" w:hAnsi="Times New Roman"/>
          <w:sz w:val="24"/>
          <w:szCs w:val="24"/>
        </w:rPr>
        <w:t xml:space="preserve"> учетом всех изменений  Постановлением администрации Дальнеконстантиновского муниципального округа  29.09.2023 г. №2530 утвержден « Порядка проведения оценки регулирующего воздействия проектов муниципальных нормативных правовых актов и Порядка  проведения </w:t>
      </w:r>
      <w:r>
        <w:rPr>
          <w:rFonts w:ascii="Times New Roman" w:hAnsi="Times New Roman"/>
          <w:sz w:val="24"/>
          <w:szCs w:val="24"/>
        </w:rPr>
        <w:t xml:space="preserve">экспертизы</w:t>
      </w:r>
      <w:r>
        <w:rPr>
          <w:rFonts w:ascii="Times New Roman" w:hAnsi="Times New Roman"/>
          <w:sz w:val="24"/>
          <w:szCs w:val="24"/>
        </w:rPr>
        <w:t xml:space="preserve"> действующих муниципальных нормативных правовых актов  Дальнеконстантиновского  муниципального округа Нижегородской области»</w:t>
      </w:r>
      <w:r>
        <w:rPr>
          <w:rFonts w:ascii="Times New Roman" w:hAnsi="Times New Roman"/>
          <w:sz w:val="24"/>
          <w:szCs w:val="24"/>
        </w:rPr>
        <w:t xml:space="preserve"> и  постановлением администрации Дальнеконстантиновского муниципального  округа Нижегородской области от 23.01.2025 г. №201  </w:t>
      </w:r>
      <w:r>
        <w:rPr>
          <w:rFonts w:ascii="Times New Roman" w:hAnsi="Times New Roman"/>
        </w:rPr>
        <w:t xml:space="preserve">внесены  изменени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постановление администрации Дальнеконстантиновского муниципального округа  Нижегородской области от</w:t>
      </w:r>
      <w:r>
        <w:rPr>
          <w:rFonts w:ascii="Times New Roman" w:hAnsi="Times New Roman"/>
        </w:rPr>
        <w:t xml:space="preserve"> 29 сентября  2023 года №2530 «</w:t>
      </w:r>
      <w:r>
        <w:rPr>
          <w:rFonts w:ascii="Times New Roman" w:hAnsi="Times New Roman"/>
        </w:rPr>
        <w:t xml:space="preserve">Об утверждении </w:t>
      </w:r>
      <w:r>
        <w:rPr>
          <w:rFonts w:ascii="Times New Roman" w:hAnsi="Times New Roman"/>
        </w:rPr>
        <w:t xml:space="preserve">Порядка 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</w:rPr>
        <w:t xml:space="preserve"> и экспертизы действующих муниципальных нормативных правовых актов Дальнеконстантиновского муниципального округа  Нижегородской области»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 учетом всех внесенных изменений Постановлением администрации Дальнеконстантиновского муниципального округа Нижегородской области от 19.12.2025 г. № 4208 утвержден новый «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Порядок проведения оценки регулирующего воздействия проектов муниципальных нормативных правовых актов  Дальнеконстантиновского муниципального округа  Нижегородской области».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Вышеуказанное постановление было доведено до всех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 xml:space="preserve">округа</w:t>
      </w:r>
      <w:r>
        <w:rPr>
          <w:rFonts w:ascii="Times New Roman" w:hAnsi="Times New Roman"/>
          <w:sz w:val="24"/>
          <w:szCs w:val="24"/>
        </w:rPr>
        <w:t xml:space="preserve">, которые должны проводить оценку регулирующего воздействия в отношении проектов муниципальных нормативных актов в Дальнеконстантиновского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</w:t>
      </w:r>
      <w:r>
        <w:rPr>
          <w:rFonts w:ascii="Times New Roman" w:hAnsi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 в рамках своей компетенции в соответствии  с Порядком.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 xml:space="preserve">           </w:t>
      </w:r>
      <w:r>
        <w:rPr>
          <w:rFonts w:ascii="Times New Roman" w:hAnsi="Times New Roman"/>
          <w:color w:val="323232"/>
          <w:sz w:val="24"/>
          <w:szCs w:val="24"/>
        </w:rPr>
        <w:t xml:space="preserve">В целях информационного обеспечения проведения процедуры ОРВ, </w:t>
      </w:r>
      <w:r>
        <w:rPr>
          <w:rFonts w:ascii="Times New Roman" w:hAnsi="Times New Roman"/>
          <w:color w:val="323232"/>
          <w:sz w:val="24"/>
          <w:szCs w:val="24"/>
        </w:rPr>
        <w:t xml:space="preserve">информирования заинтересованных сторон о разрабатываемых проектах нормативных правовых актов был создан и функционирует в настоящее время специальный подраздел «Оценка регулирующего воздействия»  на официальном сайте Дальнеконстантиновского муниципального </w:t>
      </w:r>
      <w:r>
        <w:rPr>
          <w:rFonts w:ascii="Times New Roman" w:hAnsi="Times New Roman"/>
          <w:color w:val="323232"/>
          <w:sz w:val="24"/>
          <w:szCs w:val="24"/>
        </w:rPr>
        <w:t xml:space="preserve">округа</w:t>
      </w:r>
      <w:r>
        <w:rPr>
          <w:rFonts w:ascii="Times New Roman" w:hAnsi="Times New Roman"/>
          <w:color w:val="323232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 xml:space="preserve">Процедура оценки регулирующего воздействия проводится структурными подразделениями администрации муниципального </w:t>
      </w:r>
      <w:r>
        <w:rPr>
          <w:rFonts w:ascii="Times New Roman" w:hAnsi="Times New Roman"/>
          <w:sz w:val="24"/>
          <w:szCs w:val="24"/>
        </w:rPr>
        <w:t xml:space="preserve">округа</w:t>
      </w:r>
      <w:r>
        <w:rPr>
          <w:rFonts w:ascii="Times New Roman" w:hAnsi="Times New Roman"/>
          <w:sz w:val="24"/>
          <w:szCs w:val="24"/>
        </w:rPr>
        <w:t xml:space="preserve">, являющимися разработчиками проектов нормативных правовых актов (далее НПА).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</w:t>
      </w:r>
      <w:r>
        <w:rPr>
          <w:rFonts w:ascii="Times New Roman" w:hAnsi="Times New Roman"/>
          <w:color w:val="333333"/>
          <w:sz w:val="24"/>
          <w:szCs w:val="24"/>
        </w:rPr>
        <w:t xml:space="preserve">В  2025</w:t>
      </w:r>
      <w:r>
        <w:rPr>
          <w:rFonts w:ascii="Times New Roman" w:hAnsi="Times New Roman"/>
          <w:color w:val="333333"/>
          <w:sz w:val="24"/>
          <w:szCs w:val="24"/>
        </w:rPr>
        <w:t xml:space="preserve"> году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10</w:t>
      </w:r>
      <w:r>
        <w:rPr>
          <w:rFonts w:ascii="Times New Roman" w:hAnsi="Times New Roman"/>
          <w:color w:val="333333"/>
          <w:sz w:val="24"/>
          <w:szCs w:val="24"/>
        </w:rPr>
        <w:t xml:space="preserve"> декабря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на совещании-семинаре с субъектами МСП напомнили </w:t>
      </w:r>
      <w:r>
        <w:rPr>
          <w:rStyle w:val="860"/>
          <w:rFonts w:ascii="Times New Roman" w:hAnsi="Times New Roman"/>
          <w:color w:val="050624"/>
          <w:sz w:val="24"/>
          <w:szCs w:val="24"/>
          <w:shd w:val="clear" w:color="auto" w:fill="ffffff"/>
        </w:rPr>
        <w:t xml:space="preserve">   о п</w:t>
      </w:r>
      <w:r>
        <w:rPr>
          <w:rFonts w:ascii="Times New Roman" w:hAnsi="Times New Roman"/>
          <w:bCs/>
          <w:sz w:val="24"/>
          <w:szCs w:val="24"/>
        </w:rPr>
        <w:t xml:space="preserve">роведении оценки регулирующего воздействия проектов муниципальных нормативных правовых актов Дальнеконстантиновского муниципального округа</w:t>
      </w:r>
      <w:r>
        <w:rPr>
          <w:rFonts w:ascii="Times New Roman" w:hAnsi="Times New Roman"/>
          <w:color w:val="333333"/>
          <w:sz w:val="24"/>
          <w:szCs w:val="24"/>
        </w:rPr>
        <w:t xml:space="preserve"> и предложили</w:t>
      </w:r>
      <w:r>
        <w:rPr>
          <w:rFonts w:ascii="Times New Roman" w:hAnsi="Times New Roman"/>
          <w:color w:val="333333"/>
          <w:sz w:val="24"/>
          <w:szCs w:val="24"/>
        </w:rPr>
        <w:t xml:space="preserve">  принять активное участие.  Всем присутствующим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раздали буклеты  о проведении  Оценки регулирующего воздействия по проектам нормативно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правовых актов в сфере предпринимательской и инвестиционной деятельности</w:t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9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декабря 2025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года  в   зале заседаний адм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инистрации Дальнеконстантиновского муниципального района состоялось заседание  Координационного совета по развитию малого и среднего предпринимательства при администрации Дальнеконстантиновского муниципального района.    Членам координационного совета  довели информацию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о проведении  Оценки регулирующего воздействия по проектам нормативно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правовых актов в сфере предпринимательской и инвестиционной деятельности.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jc w:val="both"/>
        <w:spacing w:line="240" w:lineRule="auto"/>
      </w:pPr>
      <w:r>
        <w:rPr>
          <w:rFonts w:ascii="Times New Roman" w:hAnsi="Times New Roman"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Cs/>
          <w:color w:val="000000"/>
          <w:sz w:val="24"/>
          <w:szCs w:val="24"/>
          <w:highlight w:val="none"/>
        </w:rPr>
        <w:t xml:space="preserve">https://adm-dk.nobl.ru/presscenter/news/162041/</w:t>
      </w:r>
      <w:r>
        <w:rPr>
          <w:rFonts w:ascii="Times New Roman" w:hAnsi="Times New Roman"/>
          <w:bCs/>
          <w:color w:val="000000"/>
          <w:sz w:val="24"/>
          <w:szCs w:val="24"/>
          <w:highlight w:val="none"/>
        </w:rPr>
      </w:r>
      <w:r/>
    </w:p>
    <w:p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rPr>
          <w:rFonts w:ascii="Times New Roman" w:hAnsi="Times New Roman"/>
          <w:b/>
          <w:sz w:val="28"/>
          <w:szCs w:val="28"/>
        </w:rPr>
        <w:sectPr>
          <w:footnotePr/>
          <w:endnotePr/>
          <w:type w:val="nextPage"/>
          <w:pgSz w:w="11905" w:h="16838" w:orient="portrait"/>
          <w:pgMar w:top="426" w:right="851" w:bottom="1134" w:left="70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Оценка</w:t>
      </w:r>
      <w:r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>
        <w:rPr>
          <w:rFonts w:ascii="Times New Roman" w:hAnsi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актов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50"/>
        <w:tblpPr w:horzAnchor="text" w:tblpXSpec="left" w:vertAnchor="text" w:tblpY="1" w:leftFromText="180" w:topFromText="0" w:rightFromText="180" w:bottomFromText="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5103"/>
        <w:gridCol w:w="1701"/>
        <w:gridCol w:w="1842"/>
      </w:tblGrid>
      <w:tr>
        <w:tblPrEx/>
        <w:trPr>
          <w:trHeight w:val="828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№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п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/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п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Наименование проекта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правового акта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Разработчик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  <w:p>
            <w:pPr>
              <w:ind w:firstLine="34"/>
              <w:jc w:val="center"/>
              <w:spacing w:before="12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Предмет регулирования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Количество участников публичных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ций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Учет 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замечаний и предложений 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по проекту</w:t>
            </w:r>
            <w:r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</w:r>
            <w:r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828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схемы размещения нестационарных торговых объектов на территории  Дальнеконстантиновского  муниципального округа Нижегородской области   на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г.г.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экономического развития администрации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Данный проект разработан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целях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создания условий для улучшение организации и качества торгового обслуживания населения и обеспечения доступности товаров для населения; достижения нормативов минимальной обеспеченности населения площадью торговых объектов на 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 утвержден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ии Порядка предоставления субъектам малого и среднего предпринимательства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экономического развития администрации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определяет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предоставления субсидии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субъектам малого и среднего предпринимательства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Нижегородской области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порядок проведения отбора получателей субсидии, требования к отчетности,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рядок возврата субсидии в бюджет муниципального округа в случае нарушения условий, установленных при её предоставлении, а также требования об осуществлении контроля за соблюдением условий и порядка предоставления субсидии и ответственности за их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«Об утверждении 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предоставления субсидий из местного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возмещение части затрат на поддержку элитного семеноводства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определяет порядок предоставления из местного бюджета субсидии на возмещение части затрат на поддержку элитного семеноводства,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Порядок предоставления субсидий из местного бюджета на поддержку племенного животноводства, утвержденн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постановлением администрации Дальнеконстантиновского муниципального округа Нижегородской области от 21.03.2024 г. № 766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определяет порядок предоставления из местного бюджета субсидии на возмещение части затрат на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племенного животноводства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племенного животноводства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счет средств федерального бюджета и областного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района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«Об утверждении порядка предоставления субсидий из местного бюджета на возмещение производителям зерновых культур части затрат на производство и реализацию зерновых культур»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регулирует порядок предоставления из местного бюджета Дальнеконстантиновского муниципального округа Нижегородской области субсидий на </w:t>
            </w:r>
            <w:r>
              <w:rPr>
                <w:rStyle w:val="864"/>
                <w:rFonts w:ascii="Times New Roman" w:hAnsi="Times New Roman" w:eastAsia="Times New Roman" w:cs="Times New Roman"/>
                <w:sz w:val="24"/>
                <w:szCs w:val="24"/>
              </w:rPr>
              <w:t xml:space="preserve">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счет средств федерального бюджета и областного бюджета (далее - субсидия), и содержит общи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«Об утверждении 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предоставления субсидий из местного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мясного скотоводства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предоставления из местного бюджета субсидии на возмещение части затрат на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мясного скотоводства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мясного скотоводства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счет средств федерального бюджета и областного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содержит общи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решения Совета депутатов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 муниципальном контроле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автомобильном транспорте и в дорожном хозяйстве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4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 архитектуры и жилищно-коммунального хозяйства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Дальнеконстантиновского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округа  Нижегородской области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Предлагается утвердить новое Положение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муниципальном контроле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автомобильном транспорте и в дорожном хозяйстве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Основанием для проведения оценки регулирующего воздействия проекта муниципального нормативного правового акта является приведение нормативно-правового акта к нормам действующего законодательства.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и предложения 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решения Совета депутатов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 муниципальном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жилищном контроле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предлагается утвердить новое Положение о муниципальном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жилищном контроле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4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 архитектуры и жилищно-коммунального хозяйства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Дальнеконстантиновского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округа  Нижегородской области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Предлагается утвердить новое Положение о муниципальном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жилищном контроле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Причинами возникновения проблемы является приведение нормативно- правового акта в соответствие требованиям федерального законодательства. По этой причине требуется принятие нового нормативно-правового акта.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и предложения 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решения Совета депутатов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 муниципальном контроле в сфере благоустройства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4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 архитектуры и жилищно-коммунального хозяйства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Дальнеконстантиновского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округа  Нижегородской области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Предлагается утвердить новое Положение о муниципальном контроле в сфере благоустройства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Основанием для проведения оценки регулирующего воздействия проекта муниципального нормативного правового акта является приведение нормативно-правового акта к нормам действующего законодательства.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и предложения 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решения Совета депутатов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 муниципальном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контроле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4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 архитектуры и жилищно-коммунального хозяйства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Дальнеконстантиновского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округа  Нижегородской области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предлагается утвердить новое Положение о муниципальном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контроле в границах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Причинами возникновения проблемы является приведение нормативно- правового акта в соответствие требованиям федерального законодательства. По этой причине требуется принятие нового нормативно-правового акта.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постановления администрации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 порядке разработки и утверждения схемы размещения нестационарных торговых объектов на территории Дальнеконстантиновского 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экономического развития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администрации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720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определяют порядок и основания для размещения нестационарных торговых объектов, основные требования к работе объектов мелкорозничной сети и обязательны для исполнения юридическими лицами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независимо от организационно-правовых форм и форм собственности, индивидуальными предпринимателями и физическими лицами, применяющими специальный налоговый режим «Н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осуществляющими деятельность через объекты мелкорозничной сети.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 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постановления 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округа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ижегородской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«О порядке предоставления грантов в форме субсидий субъектам малого и среднего предпринимательства Дальнеконстантиновского муниципального округа, связанных с начал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экономического развития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администрации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866"/>
              <w:ind w:right="10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определяет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Порядка предоставления субсидии на реализацию мероприятия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муниципальной поддержк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виде грантов начинающим малым предприятиям, в том числе инновационным,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 также физическим лицам,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применяющих специальный налоговый режим «Налог на профессиональный доход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 создание собственного дела в целях возмещения части затрат, связанных с началом предпринимательской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предложения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 О внесении изменений в порядок предоставления субсидии из местного бюджета на поддержку производства молока, утвержденный постановлением администрации Дальнеконстантиновского муниципального округа Нижегородской области от 05 марта 2024 года № 616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порядок предоставления из местного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субсидии на поддержку произво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дства молока,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и содержит общи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 О внесении изменений в порядок предоставления субсидии из местного бюджета на поддержку производства молока, утвержденный постановлением администрации Дальнеконстантиновского муниципального округа Нижегородской области от 05 марта 2024 года № 616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регулирует порядок предоставления из местного бюджета Дальнеконстантиновского муниципального округа Нижегородской области  субсидии на поддержку произво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дства молока,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и содержит общи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порядок предоставления субсидий из местного бюджета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утвержденный постановлением администрации Дальнеконстантиновского муниципального округа Нижегородской области от 12.03.2024 г. № 682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регулирует порядок предоставления из местного бюджета Дальнеконстантиновского муниципального округа Нижегородской области (далее – муниципальное образование) субсидии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счет средств федерального бюджета и областного бюджета (далее - субсидия), и содержит общие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Порядок предоставления субсидий из местного бюджета на поддержку племенного животноводства, утвержденн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постановлением администрации Дальнеконстантиновского муниципального округа Нижегородской области от 21.03.2024 г. № 766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определяет порядок предоставления из местного бюджета субсидии на возмещение части затрат на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племенного животноводства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племенного животноводства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счет средств федерального бюджета и областного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содержит общие положения о предоставлении субсидии, порядок проведени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отбора получателей субсидии для предоставления субсидии, условия и порядок ее предоставления,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 и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 Порядок предоставления субсидий из местного бюджета </w:t>
            </w:r>
            <w:r>
              <w:rPr>
                <w:rStyle w:val="864"/>
                <w:rFonts w:ascii="Times New Roman" w:hAnsi="Times New Roman" w:eastAsia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в Порядок предоставле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 субсидий из местного бюджета на возмещение части затрат на поддержку производства картофеля и овощей открытого грунта, утвержденных постановлением администрации Дальнеконстантиновского муниципального округа Нижегородской области от 16.04.2024 г. № 1017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предоставления из местного бюджета Дальнеконстантиновского муниципального округа Нижегородской области  (далее – муниципальное образование) субсидий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возмещение части затрат на поддержку элитного семеноводства, источником финансового обеспечения которых являются субвенции местным бюджетам для осуществления переданных государственных полномочий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стимулированию увеличения производства картофеля и овощей за счет средств федерального бюджета и областного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(далее - субсидия)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содержит общие положения о предоставле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нии субсидии, условия и порядок предоставления субсидии, требования к отчетности, а также требования об осуществлении контроля (мониторинг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Замечания  и предложения 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района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 внесении изменений в Порядок предоставления 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бсидий из местного бюджета на возмещение производителям зерновых культур части затрат на производство и реализацию зерновых культур утвержденный постановлением администрации Дальнеконстантиновского муниципального округа Нижегородской области от 15.04.2024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 1011»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регулирует порядок предоставления из местного бюджета Дальнеконстантиновского муниципального округа Нижегородской области субсидий на </w:t>
            </w:r>
            <w:r>
              <w:rPr>
                <w:rStyle w:val="864"/>
                <w:rFonts w:ascii="Times New Roman" w:hAnsi="Times New Roman" w:eastAsia="Times New Roman" w:cs="Times New Roman"/>
                <w:sz w:val="24"/>
                <w:szCs w:val="24"/>
              </w:rPr>
              <w:t xml:space="preserve">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счет средств федерального бюджета и областного бюджета (далее - субсидия), и содержит общи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Порядок предоставления субсидии на возмещение части затрат на приобретение оборудования и техни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ки, источником финансового обеспечения которых являются субвенции местным бюджетам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 осуществления переданных государственных полномочий по возмещению части затрат на приобретение оборудования и техники»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регулирует порядок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предоставления из местного бю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джета Дальнеконстантиновского муниципального округа Нижегородской области (далее – муниципальное образование) субсидии на возмещение части затрат на приобретение оборудования и техники, источником финансового обеспечения которой являются субвенции местным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бюджетам для осуществления переданных государственных полномочий по возмещению части затрат на приобретение оборудования и техники (далее - субсидия), и содержит общие положения о предоставлении субсидии, условия и порядок пре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Порядок предоставления субсидии на возмещение части затрат на приобретение оборудования и техни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сельского хозяйства администрации  Дальнеконстантиновского муниципального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регулирует порядок предоставления из местного бюджета Дальнеконстантиновского муниципального округа Нижегородской области (далее – муниципальное образование) суб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сидии на возмещение части затрат на приобретение оборудования и техники,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приобретение обору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дования и техники (далее - субсидия),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оставления субсидии и ответственности за их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Проект постановления 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Об утвержден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ии Порядка предоставления субъектам малого и среднего предпринимательства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луг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Управлением экономического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постановления определяет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предоставления субсидии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субъектам малого и среднего предпринимательства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Нижегородской области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порядок проведения отбора получателей субсидии, требования к отчетности,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рядок возврата субсидии в бюджет муниципального округа в случае нарушения условий, установленных при её предоставлении, а также требования об осуществлении контроля за соблюдением условий и порядка предоставления субсидии и ответственности за их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предложения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постановления 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Дальнеконстантиновского муниципального  округа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Об утверждении плана организации ярмарок на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Управлением экономического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Дальнеконстантиновского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организации ярмарок предназначен для дальнейшего проведения мероприятий по организации ярмарок. На основании утвержденного Плана организации ярмарок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осуществляется размещение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ярмарочной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говой сети на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рритории Дальнеконстантиновского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Негативные последствия от введения Проекта постановления отсутствуют.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Замечаний и предложений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участников публичных консультаций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850"/>
        <w:tblW w:w="142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878"/>
        <w:gridCol w:w="2410"/>
      </w:tblGrid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Участник (наименование организации, ФИО физического лица)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Количество проектов</w: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 «Дальнеконстантиновский Центр развития предпринимательства»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  Нижегородский Центр общественных процедур «Бизнес против коррупции»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инансов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Дальнеконстантиновского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КФХ Щербань Роман Юрьевич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«Дальнеконстантиновский кооператор»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Агросфера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Сарлейское МУМППЖКХ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И.П.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Симанова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Марина Николаевна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И.П. Сироьткина Ольга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«Мир»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СПК «Нижегородец»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Тепелево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АО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Березниковское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АО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Румянцевское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18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КФХ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Карашова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Любовь Михайловна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42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Экспертиза нормативных правовых актов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50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701"/>
        <w:gridCol w:w="3119"/>
        <w:gridCol w:w="1559"/>
        <w:gridCol w:w="2268"/>
      </w:tblGrid>
      <w:tr>
        <w:tblPrEx/>
        <w:trPr>
          <w:trHeight w:val="828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и реквизиты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консульта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выбранного варианта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nextPage"/>
      <w:pgSz w:w="16838" w:h="11905" w:orient="landscape"/>
      <w:pgMar w:top="568" w:right="1134" w:bottom="1276" w:left="42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6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7"/>
    <w:next w:val="837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8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7"/>
    <w:next w:val="837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8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8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8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8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8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8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7"/>
    <w:next w:val="837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8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37"/>
    <w:next w:val="837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8"/>
    <w:link w:val="682"/>
    <w:uiPriority w:val="10"/>
    <w:rPr>
      <w:sz w:val="48"/>
      <w:szCs w:val="48"/>
    </w:rPr>
  </w:style>
  <w:style w:type="paragraph" w:styleId="684">
    <w:name w:val="Subtitle"/>
    <w:basedOn w:val="837"/>
    <w:next w:val="837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8"/>
    <w:link w:val="684"/>
    <w:uiPriority w:val="11"/>
    <w:rPr>
      <w:sz w:val="24"/>
      <w:szCs w:val="24"/>
    </w:rPr>
  </w:style>
  <w:style w:type="paragraph" w:styleId="686">
    <w:name w:val="Quote"/>
    <w:basedOn w:val="837"/>
    <w:next w:val="837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7"/>
    <w:next w:val="837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7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38"/>
    <w:link w:val="690"/>
    <w:uiPriority w:val="99"/>
  </w:style>
  <w:style w:type="paragraph" w:styleId="692">
    <w:name w:val="Footer"/>
    <w:basedOn w:val="837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38"/>
    <w:link w:val="692"/>
    <w:uiPriority w:val="99"/>
  </w:style>
  <w:style w:type="paragraph" w:styleId="694">
    <w:name w:val="Caption"/>
    <w:basedOn w:val="837"/>
    <w:next w:val="837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38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7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Calibri" w:hAnsi="Calibri" w:eastAsia="Calibri" w:cs="Times New Roman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2">
    <w:name w:val="List Paragraph"/>
    <w:basedOn w:val="837"/>
    <w:uiPriority w:val="34"/>
    <w:qFormat/>
    <w:pPr>
      <w:contextualSpacing/>
      <w:ind w:left="720"/>
    </w:pPr>
  </w:style>
  <w:style w:type="character" w:styleId="843">
    <w:name w:val="Hyperlink"/>
    <w:basedOn w:val="838"/>
    <w:uiPriority w:val="99"/>
    <w:unhideWhenUsed/>
    <w:rPr>
      <w:color w:val="0000ff" w:themeColor="hyperlink"/>
      <w:u w:val="single"/>
    </w:rPr>
  </w:style>
  <w:style w:type="paragraph" w:styleId="844" w:customStyle="1">
    <w:name w:val="ConsPlusNormal"/>
    <w:pPr>
      <w:spacing w:after="0" w:line="240" w:lineRule="auto"/>
    </w:pPr>
    <w:rPr>
      <w:rFonts w:ascii="Times New Roman" w:hAnsi="Times New Roman" w:cs="Times New Roman"/>
    </w:rPr>
  </w:style>
  <w:style w:type="character" w:styleId="845" w:customStyle="1">
    <w:name w:val="apple-converted-space"/>
    <w:basedOn w:val="838"/>
  </w:style>
  <w:style w:type="paragraph" w:styleId="846">
    <w:name w:val="Balloon Text"/>
    <w:basedOn w:val="837"/>
    <w:link w:val="8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38"/>
    <w:link w:val="846"/>
    <w:uiPriority w:val="99"/>
    <w:semiHidden/>
    <w:rPr>
      <w:rFonts w:ascii="Tahoma" w:hAnsi="Tahoma" w:eastAsia="Calibri" w:cs="Tahoma"/>
      <w:sz w:val="16"/>
      <w:szCs w:val="16"/>
    </w:rPr>
  </w:style>
  <w:style w:type="character" w:styleId="848">
    <w:name w:val="FollowedHyperlink"/>
    <w:basedOn w:val="838"/>
    <w:uiPriority w:val="99"/>
    <w:semiHidden/>
    <w:unhideWhenUsed/>
    <w:rPr>
      <w:color w:val="800080" w:themeColor="followedHyperlink"/>
      <w:u w:val="single"/>
    </w:rPr>
  </w:style>
  <w:style w:type="character" w:styleId="849">
    <w:name w:val="footnote reference"/>
    <w:uiPriority w:val="99"/>
    <w:rPr>
      <w:vertAlign w:val="superscript"/>
    </w:rPr>
  </w:style>
  <w:style w:type="table" w:styleId="850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2" w:customStyle="1">
    <w:name w:val="extended-text__short"/>
    <w:basedOn w:val="838"/>
  </w:style>
  <w:style w:type="paragraph" w:styleId="853" w:customStyle="1">
    <w:name w:val="Знак Знак Знак Знак"/>
    <w:basedOn w:val="837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character" w:styleId="854" w:customStyle="1">
    <w:name w:val="Основной текст_"/>
    <w:link w:val="855"/>
    <w:rPr>
      <w:sz w:val="26"/>
      <w:szCs w:val="26"/>
      <w:shd w:val="clear" w:color="auto" w:fill="ffffff"/>
    </w:rPr>
  </w:style>
  <w:style w:type="paragraph" w:styleId="855" w:customStyle="1">
    <w:name w:val="Основной текст3"/>
    <w:basedOn w:val="837"/>
    <w:link w:val="854"/>
    <w:pPr>
      <w:spacing w:before="480" w:after="480" w:line="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6"/>
      <w:szCs w:val="26"/>
    </w:rPr>
  </w:style>
  <w:style w:type="paragraph" w:styleId="856" w:customStyle="1">
    <w:name w:val="Знак"/>
    <w:basedOn w:val="837"/>
    <w:pPr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styleId="857" w:customStyle="1">
    <w:name w:val="Основной текст (2)_"/>
    <w:basedOn w:val="838"/>
    <w:link w:val="85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58" w:customStyle="1">
    <w:name w:val="Основной текст (2)"/>
    <w:basedOn w:val="837"/>
    <w:link w:val="857"/>
    <w:pPr>
      <w:jc w:val="right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5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lang w:eastAsia="ru-RU"/>
    </w:rPr>
  </w:style>
  <w:style w:type="character" w:styleId="860">
    <w:name w:val="Strong"/>
    <w:basedOn w:val="838"/>
    <w:uiPriority w:val="22"/>
    <w:qFormat/>
    <w:rPr>
      <w:b/>
      <w:bCs/>
    </w:rPr>
  </w:style>
  <w:style w:type="paragraph" w:styleId="86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3">
    <w:name w:val="List Bullet"/>
    <w:basedOn w:val="837"/>
    <w:uiPriority w:val="99"/>
    <w:unhideWhenUsed/>
    <w:pPr>
      <w:numPr>
        <w:ilvl w:val="0"/>
        <w:numId w:val="5"/>
      </w:numPr>
      <w:contextualSpacing/>
    </w:pPr>
  </w:style>
  <w:style w:type="character" w:styleId="864" w:customStyle="1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styleId="865" w:customStyle="1">
    <w:name w:val="Style9"/>
    <w:basedOn w:val="837"/>
    <w:uiPriority w:val="99"/>
    <w:pPr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6">
    <w:name w:val="Body Text"/>
    <w:basedOn w:val="837"/>
    <w:link w:val="867"/>
    <w:uiPriority w:val="1"/>
    <w:qFormat/>
    <w:pPr>
      <w:ind w:left="102" w:firstLine="707"/>
      <w:jc w:val="both"/>
      <w:spacing w:after="0" w:line="240" w:lineRule="auto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867" w:customStyle="1">
    <w:name w:val="Основной текст Знак"/>
    <w:basedOn w:val="838"/>
    <w:link w:val="866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6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9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dm-dk.nobl.ru/activity/34696/" TargetMode="External"/><Relationship Id="rId11" Type="http://schemas.openxmlformats.org/officeDocument/2006/relationships/hyperlink" Target="https://adm-dk.nobl.ru/activity/34696/" TargetMode="External"/><Relationship Id="rId12" Type="http://schemas.openxmlformats.org/officeDocument/2006/relationships/hyperlink" Target="https://adm-dk.nobl.ru/activity/28411/" TargetMode="External"/><Relationship Id="rId13" Type="http://schemas.openxmlformats.org/officeDocument/2006/relationships/hyperlink" Target="https://adm-dk.nobl.ru/activity/28411/" TargetMode="External"/><Relationship Id="rId14" Type="http://schemas.openxmlformats.org/officeDocument/2006/relationships/hyperlink" Target="https://adm-dk.nobl.ru/activity/28411/" TargetMode="External"/><Relationship Id="rId15" Type="http://schemas.openxmlformats.org/officeDocument/2006/relationships/hyperlink" Target="https://adm-dk.nobl.ru/activity/28411/" TargetMode="External"/><Relationship Id="rId16" Type="http://schemas.openxmlformats.org/officeDocument/2006/relationships/hyperlink" Target="https://nobl.ru/deyatelnost-pravitelstva/or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9644-079C-497D-A226-835E5DA1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rozhina</dc:creator>
  <cp:lastModifiedBy>User</cp:lastModifiedBy>
  <cp:revision>15</cp:revision>
  <dcterms:created xsi:type="dcterms:W3CDTF">2025-01-20T05:55:00Z</dcterms:created>
  <dcterms:modified xsi:type="dcterms:W3CDTF">2026-01-19T06:18:10Z</dcterms:modified>
</cp:coreProperties>
</file>